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35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66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98"/>
        <w:tblGridChange w:id="0">
          <w:tblGrid>
            <w:gridCol w:w="4166"/>
            <w:gridCol w:w="1008"/>
            <w:gridCol w:w="1008"/>
            <w:gridCol w:w="1008"/>
            <w:gridCol w:w="1008"/>
            <w:gridCol w:w="1008"/>
            <w:gridCol w:w="1008"/>
            <w:gridCol w:w="1008"/>
            <w:gridCol w:w="1008"/>
            <w:gridCol w:w="1008"/>
            <w:gridCol w:w="1098"/>
          </w:tblGrid>
        </w:tblGridChange>
      </w:tblGrid>
      <w:tr>
        <w:trPr>
          <w:cantSplit w:val="0"/>
          <w:trHeight w:val="86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2">
            <w:pPr>
              <w:jc w:val="right"/>
              <w:rPr>
                <w:b w:val="1"/>
                <w:sz w:val="32"/>
                <w:szCs w:val="3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PICK UP DATES</w:t>
            </w:r>
          </w:p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APPLICANT NAMES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/</w:t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jc w:val="center"/>
        <w:rPr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b w:val="1"/>
          <w:color w:val="000000"/>
          <w:sz w:val="32"/>
          <w:szCs w:val="32"/>
          <w:u w:val="single"/>
          <w:rtl w:val="0"/>
        </w:rPr>
        <w:t xml:space="preserve">Senior Farm Share Weekly Pick-Up Tracking List</w:t>
      </w:r>
    </w:p>
    <w:p w:rsidR="00000000" w:rsidDel="00000000" w:rsidP="00000000" w:rsidRDefault="00000000" w:rsidRPr="00000000" w14:paraId="0000009F">
      <w:pPr>
        <w:jc w:val="center"/>
        <w:rPr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Instructions: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List all approved residents in alphabetic order in the left column.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center"/>
        <w:rPr>
          <w:b w:val="1"/>
          <w:color w:val="00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left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This institution is an equal opportunity provider.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9D782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743568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uiPriority w:val="99"/>
    <w:rsid w:val="0074356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 w:val="1"/>
    <w:rsid w:val="00743568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rsid w:val="00743568"/>
    <w:rPr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a6dWYXhOjIy3/hH7kSMDY0A/mQ==">AMUW2mX4dJgx4NWFuP4J3OiSZ/Y2GavtpvIcI/lLr5BeWsl2tCNGu9WV53DmRlaKWFwKiiGOFEfIyWTB7QlNtunAUD4pMPIqWVeUStH/cIlaiL0sMfuXSjbVfZq4dVf7/FWpMkFSnQfG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2019-03-27T14:55:00Z</dcterms:created>
  <dc:creator>Michael Good</dc:creator>
</cp:coreProperties>
</file>